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72A5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宋体" w:hAnsi="宋体" w:eastAsia="宋体" w:cs="宋体"/>
          <w:sz w:val="36"/>
          <w:szCs w:val="36"/>
        </w:rPr>
      </w:pPr>
      <w:r>
        <w:rPr>
          <w:rFonts w:hint="eastAsia" w:ascii="方正公文小标宋" w:hAnsi="方正公文小标宋" w:eastAsia="方正公文小标宋" w:cs="方正公文小标宋"/>
          <w:sz w:val="36"/>
          <w:szCs w:val="36"/>
        </w:rPr>
        <w:t>《酒城下酒菜菜品技术标准》</w:t>
      </w:r>
      <w:r>
        <w:rPr>
          <w:rFonts w:hint="eastAsia" w:ascii="方正公文小标宋" w:hAnsi="方正公文小标宋" w:eastAsia="方正公文小标宋" w:cs="方正公文小标宋"/>
          <w:sz w:val="36"/>
          <w:szCs w:val="36"/>
          <w:lang w:eastAsia="zh-CN"/>
        </w:rPr>
        <w:t>（报批稿）编制说明</w:t>
      </w:r>
    </w:p>
    <w:p w14:paraId="602B8A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T/LCX 003—2026</w:t>
      </w:r>
    </w:p>
    <w:p w14:paraId="61A289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693A64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2"/>
          <w:szCs w:val="32"/>
        </w:rPr>
        <w:t>一、编制背景与目的</w:t>
      </w:r>
    </w:p>
    <w:p w14:paraId="3689A4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为深入贯彻党的二十大关于“推进文化自信自强”“加快建设质量强国”的决策部署，充分发挥泸州市“中国酒城”的独特资源优势，系统梳理和规范“酒城下酒菜”这一承载深厚历史底蕴与群众基础的地方饮食文化形态，推动泸菜标准化、品牌化、国际化发展，促进“餐酒共生”消费新场景构建，泸州市餐饮行业协会（以下简称“协会”）于2026年正式启动《酒城下酒菜》团体标准的编制工作。</w:t>
      </w:r>
    </w:p>
    <w:p w14:paraId="6D1BE6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泸州作为国家历史文化名城、中国浓香型白酒核心产区，拥有以泸州老窖、郎酒为代表的千年酿酒传统。在长期的酒文化实践中，“一口酒、一口菜、三回味”的饮食节奏已深深融入百姓生活，形成了独具特色的“餐酒共生”生活方式。然而，长期以来，“酒城下酒菜”存在概念模糊、标准缺失、文化空心、产业脱节等问题，制约了其品牌价值提升与产业链协同发展。</w:t>
      </w:r>
    </w:p>
    <w:p w14:paraId="79107B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为此，协会依据《泸州市餐饮行业协会团体标准制定程序》（泸餐协〔2026〕6号），组织立项《酒城下酒菜》团体标准（项目编号：T/LCX 003—2026），旨在通过制定一部科学、规范、可操作的技术标准，填补国内“酒配菜”领域标准空白，实现从“乡土记忆”到“城市名片”的跃升，助力“舌尖上的酒城”建设。</w:t>
      </w:r>
    </w:p>
    <w:p w14:paraId="7A6BCA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二、编制原则与总体思路</w:t>
      </w:r>
    </w:p>
    <w:p w14:paraId="4EF4C8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本标准编制遵循以下四项基本原则：</w:t>
      </w:r>
    </w:p>
    <w:p w14:paraId="551575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体系协调性原则</w:t>
      </w:r>
      <w:r>
        <w:rPr>
          <w:rFonts w:hint="eastAsia" w:ascii="宋体" w:hAnsi="宋体" w:eastAsia="宋体" w:cs="宋体"/>
          <w:sz w:val="32"/>
          <w:szCs w:val="32"/>
        </w:rPr>
        <w:t>：</w:t>
      </w:r>
    </w:p>
    <w:p w14:paraId="04FBBA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严格遵循《T/LCX 001—2026〈泸菜菜品技术标准〉》和《T/LCX 002—2026〈泸菜分类与术语〉》两大基础标准，确保分类体系、术语定义、编码规则、味型标准等关键要素完全统一，构建协调一致的泸菜标准体系。</w:t>
      </w:r>
    </w:p>
    <w:p w14:paraId="4A2021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技术先进性原则：</w:t>
      </w:r>
    </w:p>
    <w:p w14:paraId="472B2D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以“酒入肴三段法”为核心技术路径，将传统经验提炼为可量化、可复制、可教学的标准化工艺流程，推动传统技艺向现代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标准化管理</w:t>
      </w:r>
      <w:r>
        <w:rPr>
          <w:rFonts w:hint="eastAsia" w:ascii="宋体" w:hAnsi="宋体" w:eastAsia="宋体" w:cs="宋体"/>
          <w:sz w:val="32"/>
          <w:szCs w:val="32"/>
        </w:rPr>
        <w:t>转型。</w:t>
      </w:r>
    </w:p>
    <w:p w14:paraId="51848B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文化传承性原则：</w:t>
      </w:r>
    </w:p>
    <w:p w14:paraId="613A7F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坚持“从民间来、到民间去”的理念，注重挖掘每道菜品背后的历史渊源、民俗记忆与集体情感，建立“文化典故编号”制度，强化菜品与地方文脉的数字化连接。</w:t>
      </w:r>
    </w:p>
    <w:p w14:paraId="411800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4.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产业实用性原则：</w:t>
      </w:r>
    </w:p>
    <w:p w14:paraId="573760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兼顾大型企业与小微商户的实际需求，简化认证流程，鼓励创新研发，增强标准的可操作性与推广价值，服务餐饮企业品牌认证、教学培训与文化传播。</w:t>
      </w:r>
    </w:p>
    <w:p w14:paraId="453C5C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总体思路是构建“地理标识 × 风味密码 × 技术规范 × 文化叙事 × 场景适配”的“五位一体”标准架构，打造国内首个专注于“餐酒协同”的地方菜系技术标准。</w:t>
      </w:r>
    </w:p>
    <w:p w14:paraId="13A380C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三、主要编制过程</w:t>
      </w:r>
    </w:p>
    <w:p w14:paraId="36B6C9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本标准编制历时近半年，经历了五个关键阶段：</w:t>
      </w:r>
    </w:p>
    <w:p w14:paraId="0C2561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（一）立项筹备阶段（2026年4月—7月）</w:t>
      </w:r>
    </w:p>
    <w:p w14:paraId="30A60F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协会牵头组建由行业协会、高校、科研机构、龙头企业及非遗传承人组成的编制工作组，完成前期调研与标准框架设计，并发布《关于立项编制〈泸州“酒城下酒菜”团体标准〉的实施方案》。</w:t>
      </w:r>
    </w:p>
    <w:p w14:paraId="496257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（二）公开征求意见阶段（2026年7月—8月）</w:t>
      </w:r>
    </w:p>
    <w:p w14:paraId="162F18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向社会公开征集《酒城下酒菜》团体标准（征求意见稿）的意见，共收到有效反馈意见19份，涵盖各区县餐饮协会、重点企业、技术专家、文化学者及消费者。经整理分析，形成《〈酒城下酒菜〉团体标准（征求意见稿）意见建议反馈汇总处理意见》，对风味类别匹配、古蔺代表菜品争议、文化典故编号应用等问题进行了优化调整。</w:t>
      </w:r>
    </w:p>
    <w:p w14:paraId="088CF0F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（三）专家技术审查阶段（2026年8月）</w:t>
      </w:r>
    </w:p>
    <w:p w14:paraId="3A2FC2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组织“标准工作委员会”及技术专家委员会召开立项评审会，听取编制组汇报，审阅全套材料，一致认为该项目立项背景清晰、必要性充分、程序合规，</w:t>
      </w:r>
      <w:r>
        <w:rPr>
          <w:rFonts w:hint="eastAsia" w:ascii="宋体" w:hAnsi="宋体" w:eastAsia="宋体" w:cs="宋体"/>
          <w:sz w:val="32"/>
          <w:szCs w:val="32"/>
          <w:lang w:eastAsia="zh-CN"/>
        </w:rPr>
        <w:t>同意</w:t>
      </w:r>
      <w:r>
        <w:rPr>
          <w:rFonts w:hint="eastAsia" w:ascii="宋体" w:hAnsi="宋体" w:eastAsia="宋体" w:cs="宋体"/>
          <w:sz w:val="32"/>
          <w:szCs w:val="32"/>
        </w:rPr>
        <w:t>立项。</w:t>
      </w:r>
    </w:p>
    <w:p w14:paraId="22381D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（四）函审与修改完善阶段（2026年8月—9月）</w:t>
      </w:r>
    </w:p>
    <w:p w14:paraId="250812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邀请10名烹饪与标准化领域专家对标准送审稿进行函审，收到7位专家共计40余条反馈意见。重点围绕体系协调性、术语规范性、工艺完整性等方面提出修改建议。编制组逐条研究，形成《〈酒城下酒菜〉函审反馈意见汇总及修改处理意见》，并据此对标准文本进行全面修订。</w:t>
      </w:r>
    </w:p>
    <w:p w14:paraId="494FDE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（五）报批稿定稿阶段（2026年9月）</w:t>
      </w:r>
    </w:p>
    <w:p w14:paraId="6FBEAC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根据专家意见完成最终修改，形成《酒城下酒菜菜品技术标准》（报批稿），提交协会理事会审议。所有修改均严格遵循“T/LCX 003服从于T/LCX 002”的协调原则，确保与基础标准无缝对接。</w:t>
      </w:r>
    </w:p>
    <w:p w14:paraId="5AA954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四、关键技术内容说明</w:t>
      </w:r>
    </w:p>
    <w:p w14:paraId="60D19D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（一）标准定位与名称</w:t>
      </w:r>
    </w:p>
    <w:p w14:paraId="4C073C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根据专家意见（杨磊、王颖正等），明确本标准为“菜品技术标准”，属于《T/LCX 001—2026》的专用配套标准。标准名称确定为《酒城下酒菜菜品技术标准》，并在“范围”章节中明确其适用对象与技术属性。</w:t>
      </w:r>
    </w:p>
    <w:p w14:paraId="7390FD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（二）术语与定义</w:t>
      </w:r>
    </w:p>
    <w:p w14:paraId="5D015B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酒城下酒菜：</w:t>
      </w:r>
    </w:p>
    <w:p w14:paraId="1D2B47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定义为“以泸州为地理原点，以‘酒入肴三段法’为核心技术手段，专为搭配白酒饮用场景设计，具备‘解腻、压酒、助兴、醒神’四大功能的地方特色菜肴体系。”</w:t>
      </w:r>
    </w:p>
    <w:p w14:paraId="27D6CE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下酒菜</w:t>
      </w:r>
      <w:r>
        <w:rPr>
          <w:rFonts w:hint="eastAsia" w:ascii="宋体" w:hAnsi="宋体" w:eastAsia="宋体" w:cs="宋体"/>
          <w:sz w:val="32"/>
          <w:szCs w:val="32"/>
        </w:rPr>
        <w:t>：</w:t>
      </w:r>
    </w:p>
    <w:p w14:paraId="3F77F87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补充广义定义，强调其“口味偏重、质地适口、便于分食、风味互补”的特征，并增加判定原则，避免仅凭名称或食材片面认定。</w:t>
      </w:r>
    </w:p>
    <w:p w14:paraId="62C8E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酒入肴三段法</w:t>
      </w:r>
      <w:r>
        <w:rPr>
          <w:rFonts w:hint="eastAsia" w:ascii="宋体" w:hAnsi="宋体" w:eastAsia="宋体" w:cs="宋体"/>
          <w:sz w:val="32"/>
          <w:szCs w:val="32"/>
        </w:rPr>
        <w:t>：</w:t>
      </w:r>
    </w:p>
    <w:p w14:paraId="2AC92A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直接引用《T/LCX 002—2026》第3.7条定义，不在本文件中重复表述，仅在附录B中提供操作指引，确保术语一致性。</w:t>
      </w:r>
    </w:p>
    <w:p w14:paraId="3FDBC4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4.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文化典故编号</w:t>
      </w:r>
      <w:r>
        <w:rPr>
          <w:rFonts w:hint="eastAsia" w:ascii="宋体" w:hAnsi="宋体" w:eastAsia="宋体" w:cs="宋体"/>
          <w:sz w:val="32"/>
          <w:szCs w:val="32"/>
        </w:rPr>
        <w:t>：</w:t>
      </w:r>
    </w:p>
    <w:p w14:paraId="780EB4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由原“强制标注”调整为“推荐性标识”，鼓励企业自愿申报，配套建立线上申报平台与溯源模板（附录C），降低执行门槛。</w:t>
      </w:r>
    </w:p>
    <w:p w14:paraId="195496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（三）分类与命名规则</w:t>
      </w:r>
    </w:p>
    <w:p w14:paraId="6A19B8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分类体系</w:t>
      </w:r>
      <w:r>
        <w:rPr>
          <w:rFonts w:hint="eastAsia" w:ascii="宋体" w:hAnsi="宋体" w:eastAsia="宋体" w:cs="宋体"/>
          <w:sz w:val="32"/>
          <w:szCs w:val="32"/>
        </w:rPr>
        <w:t>：</w:t>
      </w:r>
    </w:p>
    <w:p w14:paraId="48AFBA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全面采用《T/LCX 002—2026》确立的“地理—风味—技法”三维模型：</w:t>
      </w:r>
    </w:p>
    <w:p w14:paraId="5F79C6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地理维度：</w:t>
      </w:r>
    </w:p>
    <w:p w14:paraId="0D96A8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大河帮（DHB）、小河味（XHW）</w:t>
      </w:r>
    </w:p>
    <w:p w14:paraId="1CD7635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风味维度：</w:t>
      </w:r>
    </w:p>
    <w:p w14:paraId="056A5D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市肆酒楼风味、乡村田席风味、凉卤烧烤风味、江滩火锅风味、酒糟窖香风味</w:t>
      </w:r>
    </w:p>
    <w:p w14:paraId="4C8A89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4.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技法维度：</w:t>
      </w:r>
    </w:p>
    <w:p w14:paraId="67486B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小煎小炒、卤、烤、坛焖、糟制、糟烧等</w:t>
      </w:r>
    </w:p>
    <w:p w14:paraId="15895D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5.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命名规则</w:t>
      </w:r>
      <w:r>
        <w:rPr>
          <w:rFonts w:hint="eastAsia" w:ascii="宋体" w:hAnsi="宋体" w:eastAsia="宋体" w:cs="宋体"/>
          <w:sz w:val="32"/>
          <w:szCs w:val="32"/>
        </w:rPr>
        <w:t>：</w:t>
      </w:r>
    </w:p>
    <w:p w14:paraId="635E58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严格执行“地域/流派+技法+主料”结构（如“合江小煎鸡”），禁用“秘制”“香辣”等空洞词汇，允许标注别名。</w:t>
      </w:r>
    </w:p>
    <w:p w14:paraId="3134CA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6.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编码规则：</w:t>
      </w:r>
    </w:p>
    <w:p w14:paraId="570C2C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采用统一编码格式：[地理代码][风味代码][技法代码][流水号]，如 XHW-LHSS-K-01，实现跨标准数据互通。</w:t>
      </w:r>
    </w:p>
    <w:p w14:paraId="6E0C0F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（四）加工工艺与质量要求</w:t>
      </w:r>
    </w:p>
    <w:p w14:paraId="4FA041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酒入肴三段法</w:t>
      </w:r>
      <w:r>
        <w:rPr>
          <w:rFonts w:hint="eastAsia" w:ascii="宋体" w:hAnsi="宋体" w:eastAsia="宋体" w:cs="宋体"/>
          <w:sz w:val="32"/>
          <w:szCs w:val="32"/>
        </w:rPr>
        <w:t>：</w:t>
      </w:r>
    </w:p>
    <w:p w14:paraId="1807F1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作为核心工艺强制要求，明确三个阶段的操作要点、推荐酒种与用量：</w:t>
      </w:r>
    </w:p>
    <w:p w14:paraId="20F158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第一段（去腥增香）：≤50ml，用于码味或冲洗</w:t>
      </w:r>
    </w:p>
    <w:p w14:paraId="069F77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第二段（融味促溶）：30–80ml，炒香后加入</w:t>
      </w:r>
    </w:p>
    <w:p w14:paraId="119ADE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第三段（提韵定格）：5–15ml，出锅前淋入，推荐使用≥45%vol的高度酒</w:t>
      </w:r>
    </w:p>
    <w:p w14:paraId="348DE5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工艺参数量化</w:t>
      </w:r>
      <w:r>
        <w:rPr>
          <w:rFonts w:hint="eastAsia" w:ascii="宋体" w:hAnsi="宋体" w:eastAsia="宋体" w:cs="宋体"/>
          <w:sz w:val="32"/>
          <w:szCs w:val="32"/>
        </w:rPr>
        <w:t>：</w:t>
      </w:r>
    </w:p>
    <w:p w14:paraId="7A98749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关键节点如腌制时间、火候、油温、调料用量等均予以量化，确保可复制性。</w:t>
      </w:r>
    </w:p>
    <w:p w14:paraId="3CD764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感官要求：</w:t>
      </w:r>
    </w:p>
    <w:p w14:paraId="76F665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从色泽、香气、口感、余味四个维度设定评价标准，强调“酒香与菜香融合”“回甘明显”“不燥不腻”。</w:t>
      </w:r>
    </w:p>
    <w:p w14:paraId="15F202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（五）文化与标识追溯</w:t>
      </w:r>
    </w:p>
    <w:p w14:paraId="63BDCD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宋体" w:cs="宋体"/>
          <w:sz w:val="32"/>
          <w:szCs w:val="32"/>
        </w:rPr>
        <w:t>文化典故溯源：</w:t>
      </w:r>
    </w:p>
    <w:p w14:paraId="032F14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在附录C中提供标准化模板，要求每道菜品填写历史渊源、民俗记忆、地理关联、工艺传承与参考文献，确保文化真实性。</w:t>
      </w:r>
    </w:p>
    <w:p w14:paraId="3CF4A0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菜单标识要求：</w:t>
      </w:r>
    </w:p>
    <w:p w14:paraId="237027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鼓励在菜单上标注是否含酒精、推荐配酒、文化典故编号、辣度等级、过敏原提示等信息，提升消费者知情权与体验感。</w:t>
      </w:r>
    </w:p>
    <w:p w14:paraId="7AFA59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数字化追溯：</w:t>
      </w:r>
    </w:p>
    <w:p w14:paraId="231825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鼓励规模以上企业建立二维码溯源系统，扫码可查看原料产地、制作视频、文化故事与主厨介绍。</w:t>
      </w:r>
    </w:p>
    <w:p w14:paraId="1EEC24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五、与相关标准的协调性</w:t>
      </w:r>
    </w:p>
    <w:p w14:paraId="4D868F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本标准严格遵循“T/LCX 003—2026服从于T/LCX 002—2026”的原则，在以下方面实现全面协调：</w:t>
      </w:r>
    </w:p>
    <w:p w14:paraId="6B858B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jc w:val="both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凡T/LCX 002已有规定的内容，本文件均不再重复定义或修改，确保标准体系的统一性与权威性。</w:t>
      </w:r>
    </w:p>
    <w:tbl>
      <w:tblPr>
        <w:tblStyle w:val="5"/>
        <w:tblW w:w="9411" w:type="dxa"/>
        <w:jc w:val="center"/>
        <w:tblBorders>
          <w:top w:val="none" w:color="DDDDDD" w:sz="4" w:space="0"/>
          <w:left w:val="none" w:color="DDDDDD" w:sz="4" w:space="0"/>
          <w:bottom w:val="none" w:color="DDDDDD" w:sz="4" w:space="0"/>
          <w:right w:val="none" w:color="DDDDDD" w:sz="4" w:space="0"/>
          <w:insideH w:val="none" w:color="auto" w:sz="0" w:space="0"/>
          <w:insideV w:val="none" w:color="auto" w:sz="0" w:space="0"/>
        </w:tblBorders>
        <w:shd w:val="clear" w:color="auto" w:fill="F8F8F8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00"/>
        <w:gridCol w:w="7711"/>
      </w:tblGrid>
      <w:tr w14:paraId="4B6F58E3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1700" w:type="dxa"/>
            <w:tcBorders>
              <w:top w:val="single" w:color="000000" w:themeColor="dark1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20F4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i w:val="0"/>
                <w:color w:val="000000" w:themeColor="dark1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 w:themeColor="dark1"/>
                <w:sz w:val="24"/>
                <w:szCs w:val="24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协调事项</w:t>
            </w:r>
          </w:p>
        </w:tc>
        <w:tc>
          <w:tcPr>
            <w:tcW w:w="7711" w:type="dxa"/>
            <w:tcBorders>
              <w:top w:val="single" w:color="000000" w:themeColor="dark1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AF08D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/>
                <w:i w:val="0"/>
                <w:color w:val="000000" w:themeColor="dark1"/>
                <w:sz w:val="24"/>
                <w:szCs w:val="24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 w:themeColor="dark1"/>
                <w:sz w:val="24"/>
                <w:szCs w:val="24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协调方式</w:t>
            </w:r>
          </w:p>
        </w:tc>
      </w:tr>
      <w:tr w14:paraId="4C1D5B95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700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D1048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4"/>
                <w:szCs w:val="24"/>
                <w:lang w:val="en-US" w:eastAsia="zh-CN"/>
              </w:rPr>
              <w:t>术语定义</w:t>
            </w:r>
          </w:p>
        </w:tc>
        <w:tc>
          <w:tcPr>
            <w:tcW w:w="7711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E99E4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4"/>
                <w:szCs w:val="24"/>
                <w:lang w:val="en-US" w:eastAsia="zh-CN"/>
              </w:rPr>
              <w:t>直接引用T/LCX 002已有术语，不另定义</w:t>
            </w:r>
          </w:p>
        </w:tc>
      </w:tr>
      <w:tr w14:paraId="11F103AE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700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26664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4"/>
                <w:szCs w:val="24"/>
                <w:lang w:val="en-US" w:eastAsia="zh-CN"/>
              </w:rPr>
              <w:t>分类体系</w:t>
            </w:r>
          </w:p>
        </w:tc>
        <w:tc>
          <w:tcPr>
            <w:tcW w:w="7711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FDCC1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4"/>
                <w:szCs w:val="24"/>
                <w:lang w:val="en-US" w:eastAsia="zh-CN"/>
              </w:rPr>
              <w:t>采用“地理—风味—技法”三维模型</w:t>
            </w:r>
          </w:p>
        </w:tc>
      </w:tr>
      <w:tr w14:paraId="5467D4F7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700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1167F9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4"/>
                <w:szCs w:val="24"/>
                <w:lang w:val="en-US" w:eastAsia="zh-CN"/>
              </w:rPr>
              <w:t>编码规则</w:t>
            </w:r>
          </w:p>
        </w:tc>
        <w:tc>
          <w:tcPr>
            <w:tcW w:w="7711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C4D2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4"/>
                <w:szCs w:val="24"/>
                <w:lang w:val="en-US" w:eastAsia="zh-CN"/>
              </w:rPr>
              <w:t>使用统一编码结构与代码表</w:t>
            </w:r>
          </w:p>
        </w:tc>
      </w:tr>
      <w:tr w14:paraId="189E70D1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shd w:val="clear" w:color="auto" w:fill="F8F8F8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700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6BB281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4"/>
                <w:szCs w:val="24"/>
                <w:lang w:val="en-US" w:eastAsia="zh-CN"/>
              </w:rPr>
              <w:t>味型术语</w:t>
            </w:r>
          </w:p>
        </w:tc>
        <w:tc>
          <w:tcPr>
            <w:tcW w:w="7711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4DC234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4"/>
                <w:szCs w:val="24"/>
                <w:lang w:val="en-US" w:eastAsia="zh-CN"/>
              </w:rPr>
              <w:t>采用T/LCX 002界定的7种标准味型（如煳辣糟香味、木姜味等）</w:t>
            </w:r>
          </w:p>
        </w:tc>
      </w:tr>
      <w:tr w14:paraId="6CC0C324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700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999999" w:themeColor="dark1" w:themeTint="66" w:sz="6" w:space="0"/>
              <w:right w:val="single" w:color="999999" w:themeColor="dark1" w:themeTint="66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C562F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4"/>
                <w:szCs w:val="24"/>
                <w:lang w:val="en-US" w:eastAsia="zh-CN"/>
              </w:rPr>
              <w:t>英文译名</w:t>
            </w:r>
          </w:p>
        </w:tc>
        <w:tc>
          <w:tcPr>
            <w:tcW w:w="7711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999999" w:themeColor="dark1" w:themeTint="66" w:sz="6" w:space="0"/>
              <w:right w:val="single" w:color="000000" w:themeColor="dark1" w:sz="6" w:space="0"/>
            </w:tcBorders>
            <w:shd w:val="clear" w:color="auto" w:fill="FFFFFF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068E08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4"/>
                <w:szCs w:val="24"/>
                <w:lang w:val="en-US" w:eastAsia="zh-CN"/>
              </w:rPr>
              <w:t>统一使用“Three-Stage Method of Adding Liquor into Dishes”等标准译名</w:t>
            </w:r>
          </w:p>
        </w:tc>
      </w:tr>
      <w:tr w14:paraId="5BA66F5D">
        <w:tblPrEx>
          <w:tblBorders>
            <w:top w:val="none" w:color="DDDDDD" w:sz="4" w:space="0"/>
            <w:left w:val="none" w:color="DDDDDD" w:sz="4" w:space="0"/>
            <w:bottom w:val="none" w:color="DDDDDD" w:sz="4" w:space="0"/>
            <w:right w:val="none" w:color="DDDDDD" w:sz="4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1700" w:type="dxa"/>
            <w:tcBorders>
              <w:top w:val="single" w:color="999999" w:themeColor="dark1" w:themeTint="66" w:sz="6" w:space="0"/>
              <w:left w:val="single" w:color="000000" w:themeColor="dark1" w:sz="6" w:space="0"/>
              <w:bottom w:val="single" w:color="000000" w:themeColor="dark1" w:sz="6" w:space="0"/>
              <w:right w:val="single" w:color="999999" w:themeColor="dark1" w:themeTint="66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3613B4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4"/>
                <w:szCs w:val="24"/>
                <w:lang w:val="en-US" w:eastAsia="zh-CN"/>
              </w:rPr>
              <w:t>附录内容</w:t>
            </w:r>
          </w:p>
        </w:tc>
        <w:tc>
          <w:tcPr>
            <w:tcW w:w="7711" w:type="dxa"/>
            <w:tcBorders>
              <w:top w:val="single" w:color="999999" w:themeColor="dark1" w:themeTint="66" w:sz="6" w:space="0"/>
              <w:left w:val="single" w:color="999999" w:themeColor="dark1" w:themeTint="66" w:sz="6" w:space="0"/>
              <w:bottom w:val="single" w:color="000000" w:themeColor="dark1" w:sz="6" w:space="0"/>
              <w:right w:val="single" w:color="000000" w:themeColor="dark1" w:sz="6" w:space="0"/>
            </w:tcBorders>
            <w:shd w:val="clear" w:color="auto" w:fill="E5E5E5" w:themeFill="dark1" w:themeFillTint="19"/>
            <w:noWrap w:val="0"/>
            <w:tcMar>
              <w:top w:w="105" w:type="dxa"/>
              <w:left w:w="252" w:type="dxa"/>
              <w:bottom w:w="105" w:type="dxa"/>
              <w:right w:w="252" w:type="dxa"/>
            </w:tcMar>
            <w:vAlign w:val="center"/>
          </w:tcPr>
          <w:p w14:paraId="54A97A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b w:val="0"/>
                <w:i w:val="0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olor w:val="000000"/>
                <w:sz w:val="24"/>
                <w:szCs w:val="24"/>
                <w:lang w:val="en-US" w:eastAsia="zh-CN"/>
              </w:rPr>
              <w:t>引用T/LCX 002附录C食材名录、附录D科学机理</w:t>
            </w:r>
          </w:p>
        </w:tc>
      </w:tr>
    </w:tbl>
    <w:p w14:paraId="2B564B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六、预期效益与推广应用</w:t>
      </w:r>
    </w:p>
    <w:p w14:paraId="6FD358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本标准的实施将带来显著的社会、经济与文化效益：</w:t>
      </w:r>
    </w:p>
    <w:p w14:paraId="30D22E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提升行业规范化水平：</w:t>
      </w:r>
    </w:p>
    <w:p w14:paraId="2E97BB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为企业提供统一的技术依据，促进菜品品质稳定与连锁化发展。</w:t>
      </w:r>
    </w:p>
    <w:p w14:paraId="2D980E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增强品牌辨识度</w:t>
      </w:r>
      <w:r>
        <w:rPr>
          <w:rFonts w:hint="eastAsia" w:ascii="宋体" w:hAnsi="宋体" w:eastAsia="宋体" w:cs="宋体"/>
          <w:sz w:val="32"/>
          <w:szCs w:val="32"/>
        </w:rPr>
        <w:t>：</w:t>
      </w:r>
    </w:p>
    <w:p w14:paraId="71CB2D0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通过“文化典故编号”与“酒入肴三段法”认证，打造“正宗酒城下酒菜”品牌形象。</w:t>
      </w:r>
    </w:p>
    <w:p w14:paraId="0692A6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推动餐酒融合发展：</w:t>
      </w:r>
    </w:p>
    <w:p w14:paraId="039970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为白酒企业提供定制化下酒菜解决方案，拓展消费场景。</w:t>
      </w:r>
    </w:p>
    <w:p w14:paraId="2713EC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4.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促进文旅消费升级：</w:t>
      </w:r>
    </w:p>
    <w:p w14:paraId="3BCAF8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作为“美食旅游”打卡依据，提升游客体验感与传播力。</w:t>
      </w:r>
    </w:p>
    <w:p w14:paraId="5E52030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5.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保护与传承地方文化：</w:t>
      </w:r>
    </w:p>
    <w:p w14:paraId="7D35C6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系统性抢救濒临失传的传统技艺与集体记忆。</w:t>
      </w:r>
    </w:p>
    <w:p w14:paraId="6C89E1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下一步，协会将启动“酒城下酒菜首批示范店”认证工作，组织巡回宣讲团开展培训，并联合新媒体平台制作短视频教程，推动标准落地见效。</w:t>
      </w:r>
    </w:p>
    <w:p w14:paraId="1160E4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3" w:firstLineChars="200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</w:rPr>
        <w:t>七、主要起草单位与人员</w:t>
      </w:r>
    </w:p>
    <w:p w14:paraId="44886F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319" w:leftChars="152" w:firstLine="321" w:firstLineChars="100"/>
        <w:textAlignment w:val="auto"/>
        <w:rPr>
          <w:rFonts w:hint="eastAsia" w:ascii="宋体" w:hAnsi="宋体" w:eastAsia="宋体" w:cs="宋体"/>
          <w:b/>
          <w:bCs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主编单位：</w:t>
      </w:r>
    </w:p>
    <w:p w14:paraId="4259A1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319" w:leftChars="152" w:firstLine="320" w:firstLineChars="1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泸州市餐饮行业协会</w:t>
      </w:r>
    </w:p>
    <w:p w14:paraId="027FD4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638" w:leftChars="304" w:firstLine="0" w:firstLineChars="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参编单位：</w:t>
      </w:r>
      <w:r>
        <w:rPr>
          <w:rFonts w:hint="eastAsia" w:ascii="宋体" w:hAnsi="宋体" w:eastAsia="宋体" w:cs="宋体"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sz w:val="32"/>
          <w:szCs w:val="32"/>
        </w:rPr>
        <w:t>泸州职业技术学院</w:t>
      </w:r>
      <w:r>
        <w:rPr>
          <w:rFonts w:hint="eastAsia" w:ascii="宋体" w:hAnsi="宋体" w:eastAsia="宋体" w:cs="宋体"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sz w:val="32"/>
          <w:szCs w:val="32"/>
        </w:rPr>
        <w:t>四川省桑治均劳模创新工作室</w:t>
      </w:r>
      <w:r>
        <w:rPr>
          <w:rFonts w:hint="eastAsia" w:ascii="宋体" w:hAnsi="宋体" w:eastAsia="宋体" w:cs="宋体"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sz w:val="32"/>
          <w:szCs w:val="32"/>
        </w:rPr>
        <w:t>万俊技能大师工作室</w:t>
      </w:r>
      <w:r>
        <w:rPr>
          <w:rFonts w:hint="eastAsia" w:ascii="宋体" w:hAnsi="宋体" w:eastAsia="宋体" w:cs="宋体"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sz w:val="32"/>
          <w:szCs w:val="32"/>
        </w:rPr>
        <w:t>王郑技能大师工作室</w:t>
      </w:r>
      <w:r>
        <w:rPr>
          <w:rFonts w:hint="eastAsia" w:ascii="宋体" w:hAnsi="宋体" w:eastAsia="宋体" w:cs="宋体"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sz w:val="32"/>
          <w:szCs w:val="32"/>
        </w:rPr>
        <w:t>泸州市市场检验检测中心</w:t>
      </w:r>
    </w:p>
    <w:p w14:paraId="3558CD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638" w:leftChars="304" w:firstLine="0" w:firstLineChars="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主要起草人</w:t>
      </w:r>
      <w:r>
        <w:rPr>
          <w:rFonts w:hint="eastAsia" w:ascii="宋体" w:hAnsi="宋体" w:eastAsia="宋体" w:cs="宋体"/>
          <w:sz w:val="32"/>
          <w:szCs w:val="32"/>
        </w:rPr>
        <w:t>：</w:t>
      </w:r>
      <w:r>
        <w:rPr>
          <w:rFonts w:hint="eastAsia" w:ascii="宋体" w:hAnsi="宋体" w:eastAsia="宋体" w:cs="宋体"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sz w:val="32"/>
          <w:szCs w:val="32"/>
        </w:rPr>
        <w:t>王晓林、代应林、桑治均、谭静、万俊、石自彬、李智刚、王</w:t>
      </w:r>
    </w:p>
    <w:p w14:paraId="715B5B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郑、曾正成、汪太明、李祥、梁万彬</w:t>
      </w:r>
    </w:p>
    <w:p w14:paraId="6C097B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Chars="304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  <w:t>4.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t>技术支持与意见采纳：</w:t>
      </w:r>
      <w:r>
        <w:rPr>
          <w:rFonts w:hint="eastAsia" w:ascii="宋体" w:hAnsi="宋体" w:eastAsia="宋体" w:cs="宋体"/>
          <w:b/>
          <w:bCs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sz w:val="32"/>
          <w:szCs w:val="32"/>
        </w:rPr>
        <w:t>感谢李自文、刘创宇、熊朝辉、杨磊、王颖正、石自彬等10位</w:t>
      </w:r>
    </w:p>
    <w:p w14:paraId="201F45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专家在技术审查与函审过程中提出的宝贵意见，所有合理建议均已吸收采纳或作出调整说明。</w:t>
      </w:r>
    </w:p>
    <w:p w14:paraId="349EE8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</w:p>
    <w:p w14:paraId="51D8F6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2873" w:leftChars="1368" w:firstLine="2240" w:firstLineChars="7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sz w:val="32"/>
          <w:szCs w:val="32"/>
        </w:rPr>
        <w:t>泸州市餐饮行业协会</w:t>
      </w:r>
      <w:r>
        <w:rPr>
          <w:rFonts w:hint="eastAsia" w:ascii="宋体" w:hAnsi="宋体" w:eastAsia="宋体" w:cs="宋体"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sz w:val="32"/>
          <w:szCs w:val="32"/>
        </w:rPr>
        <w:t>《酒城下酒菜菜品技术标准》编制工作组</w:t>
      </w:r>
      <w:r>
        <w:rPr>
          <w:rFonts w:hint="eastAsia" w:ascii="宋体" w:hAnsi="宋体" w:eastAsia="宋体" w:cs="宋体"/>
          <w:sz w:val="32"/>
          <w:szCs w:val="32"/>
        </w:rPr>
        <w:br w:type="textWrapping"/>
      </w: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 xml:space="preserve">                         </w:t>
      </w:r>
      <w:r>
        <w:rPr>
          <w:rFonts w:hint="eastAsia" w:ascii="宋体" w:hAnsi="宋体" w:eastAsia="宋体" w:cs="宋体"/>
          <w:sz w:val="32"/>
          <w:szCs w:val="32"/>
        </w:rPr>
        <w:t>2026年9月18日</w:t>
      </w:r>
    </w:p>
    <w:p w14:paraId="7CA6FB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textAlignment w:val="auto"/>
        <w:rPr>
          <w:rFonts w:hint="eastAsia" w:ascii="宋体" w:hAnsi="宋体" w:eastAsia="宋体" w:cs="宋体"/>
          <w:sz w:val="32"/>
          <w:szCs w:val="32"/>
        </w:rPr>
      </w:pPr>
    </w:p>
    <w:sectPr>
      <w:pgSz w:w="11906" w:h="16838"/>
      <w:pgMar w:top="1440" w:right="1123" w:bottom="1440" w:left="140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" w:fontKey="{1513A103-E109-48E6-B9D2-DAAD24BC779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9236B4"/>
    <w:rsid w:val="05513CFD"/>
    <w:rsid w:val="07296173"/>
    <w:rsid w:val="113B4A52"/>
    <w:rsid w:val="429236B4"/>
    <w:rsid w:val="4CC42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TML Code"/>
    <w:basedOn w:val="6"/>
    <w:qFormat/>
    <w:uiPriority w:val="0"/>
    <w:rPr>
      <w:rFonts w:ascii="Courier New" w:hAnsi="Courier New"/>
      <w:sz w:val="20"/>
    </w:rPr>
  </w:style>
  <w:style w:type="paragraph" w:customStyle="1" w:styleId="9">
    <w:name w:val="样式1"/>
    <w:basedOn w:val="1"/>
    <w:qFormat/>
    <w:uiPriority w:val="0"/>
    <w:rPr>
      <w:rFonts w:hint="default" w:asciiTheme="minorAscii" w:hAnsiTheme="minorAscii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87389097-4e87-40a4-a0aa-d1e226a236fc</errorID>
      <errorWord>说明</errorWord>
      <group>L1_Punc</group>
      <groupName>标点问题</groupName>
      <ability>L2_Punc_CN</ability>
      <abilityName>标点符号问题</abilityName>
      <candidateList>
        <item>说明。</item>
      </candidateList>
      <explain/>
      <paraID> 672A572</paraID>
      <start>15</start>
      <end>18</end>
      <status>modified</status>
      <modifiedWord>说明。</modifiedWord>
      <trackRevisions>false</trackRevisions>
    </reviewItem>
    <reviewItem>
      <errorID>e41dc440-8e35-4c7f-a4ac-46975caaf7bb</errorID>
      <errorWord>同意批准</errorWord>
      <group>L1_Grammar</group>
      <groupName>语法问题</groupName>
      <ability>L2_Grammar</ability>
      <abilityName>语法错误</abilityName>
      <candidateList>
        <item>同意</item>
      </candidateList>
      <explain/>
      <paraID>3A2FC20D</paraID>
      <start>67</start>
      <end>69</end>
      <status>modified</status>
      <modifiedWord>同意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5a69f1e-0049-4c77-b30e-dc3a68ca94c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3316</Words>
  <Characters>3552</Characters>
  <Lines>0</Lines>
  <Paragraphs>0</Paragraphs>
  <TotalTime>2</TotalTime>
  <ScaleCrop>false</ScaleCrop>
  <LinksUpToDate>false</LinksUpToDate>
  <CharactersWithSpaces>3606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2026-09-14T01:59:00Z</dcterms:created>
  <dc:creator>代应林</dc:creator>
  <cp:lastModifiedBy>代应林</cp:lastModifiedBy>
  <dcterms:modified xsi:type="dcterms:W3CDTF">2026-10-11T00:26:18Z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8314C47855EC42A78D4FF5D4E4F375FF_13</vt:lpwstr>
  </property>
  <property fmtid="{D5CDD505-2E9C-101B-9397-08002B2CF9AE}" pid="4" name="KSOTemplateDocerSaveRecord">
    <vt:lpwstr>eyJoZGlkIjoiZGQyNzAxZTM5MGZmOGJiMWE4OTA4MDcwM2MxNDlkYzkiLCJ1c2VySWQiOiIxNDU4Njk4NDU0In0=</vt:lpwstr>
  </property>
</Properties>
</file>